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Failure to appear; penalty</w:t>
      </w:r>
    </w:p>
    <w:p>
      <w:pPr>
        <w:jc w:val="both"/>
        <w:spacing w:before="100" w:after="100"/>
        <w:ind w:start="360"/>
        <w:ind w:firstLine="360"/>
      </w:pPr>
      <w:r>
        <w:rPr>
          <w:b/>
        </w:rPr>
        <w:t>1</w:t>
        <w:t xml:space="preserve">.  </w:t>
      </w:r>
      <w:r>
        <w:rPr>
          <w:b/>
        </w:rPr>
        <w:t xml:space="preserve">Failure to appear.</w:t>
        <w:t xml:space="preserve"> </w:t>
      </w:r>
      <w:r>
        <w:t xml:space="preserve"> </w:t>
      </w:r>
      <w:r>
        <w:t xml:space="preserve">A defendant who has been admitted to either preconviction or postconviction bail and who, in fact, fails to appear as required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appear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§16 (AMD). PL 2003, c. 452, §H2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§1091. Failure to appear;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Failure to appear;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§1091. FAILURE TO APPEAR;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