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1791</w:t>
        <w:t xml:space="preserve">.  </w:t>
      </w:r>
      <w:r>
        <w:rPr>
          <w:b/>
        </w:rPr>
        <w:t xml:space="preserve">Work-jail sentences</w:t>
      </w:r>
    </w:p>
    <w:p>
      <w:pPr>
        <w:jc w:val="both"/>
        <w:spacing w:before="100" w:after="100"/>
        <w:ind w:start="360"/>
        <w:ind w:firstLine="360"/>
      </w:pPr>
      <w:r>
        <w:rPr/>
      </w:r>
      <w:r>
        <w:rPr/>
      </w:r>
      <w:r>
        <w:t xml:space="preserve">When the punishment provided by law may be imprisonment in the State Prison for 3 years or less, such punishment may be inflicted by the court, in its discretion, in any of the work-jails.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§1791. Work-jail sentences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§1791. Work-jail sentences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§1791. WORK-JAIL SENTENCES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