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he shall sign a warrant of arrest, which shall be sealed with the state seal and be directed to any law enforcement officer or other person whom he may think fit to entrust with the execution thereof. The warrant must substantially recite the facts necessary to the validity of its issue.  Notwithstanding any other provision of law, defects in the Governor's warrant may not be raised as a defense to extradition, in a petition contesting extradition pursuant to </w:t>
      </w:r>
      <w:r>
        <w:t>sections 210</w:t>
      </w:r>
      <w:r>
        <w:t xml:space="preserve"> and </w:t>
      </w:r>
      <w:r>
        <w:t>210‑A</w:t>
      </w:r>
      <w:r>
        <w:t xml:space="preserve">, unless it is shown by the petitioner that any such defect is substantially prejudicial to him.</w:t>
      </w:r>
      <w:r>
        <w:t xml:space="preserve">  </w:t>
      </w:r>
      <w:r xmlns:wp="http://schemas.openxmlformats.org/drawingml/2010/wordprocessingDrawing" xmlns:w15="http://schemas.microsoft.com/office/word/2012/wordml">
        <w:rPr>
          <w:rFonts w:ascii="Arial" w:hAnsi="Arial" w:cs="Arial"/>
          <w:sz w:val="22"/>
          <w:szCs w:val="22"/>
        </w:rPr>
        <w:t xml:space="preserve">[PL 1983, c. 843,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Governor to issue warrant and deliver to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Governor to issue warrant and deliver to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§207. GOVERNOR TO ISSUE WARRANT AND DELIVER TO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