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his warrant of arrest or may issue another warrant whenever he deems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Warrant for arrest recalled or another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 WARRANT FOR ARREST RECALLED OR ANOTHER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