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2263</w:t>
        <w:t xml:space="preserve">.  </w:t>
      </w:r>
      <w:r>
        <w:rPr>
          <w:b/>
        </w:rPr>
        <w:t xml:space="preserve">Motion; persons who may file</w:t>
      </w:r>
    </w:p>
    <w:p>
      <w:pPr>
        <w:jc w:val="both"/>
        <w:spacing w:before="100" w:after="100"/>
        <w:ind w:start="360"/>
        <w:ind w:firstLine="360"/>
      </w:pPr>
      <w:r>
        <w:rPr/>
      </w:r>
      <w:r>
        <w:rPr/>
      </w:r>
      <w:r>
        <w:t xml:space="preserve">A person may file a written motion seeking a court order sealing the person's criminal history record information relating to a specific criminal conviction in the underlying criminal proceeding based on a court determination that the person satisfies the statutory prerequisites specified in </w:t>
      </w:r>
      <w:r>
        <w:t>section 2262</w:t>
      </w:r>
      <w:r>
        <w:t xml:space="preserve"> or </w:t>
      </w:r>
      <w:r>
        <w:t>2262‑A</w:t>
      </w:r>
      <w:r>
        <w:t xml:space="preserve">. The written motion must briefly address each of the statutory prerequisites.</w:t>
      </w:r>
      <w:r>
        <w:t xml:space="preserve">  </w:t>
      </w:r>
      <w:r xmlns:wp="http://schemas.openxmlformats.org/drawingml/2010/wordprocessingDrawing" xmlns:w15="http://schemas.microsoft.com/office/word/2012/wordml">
        <w:rPr>
          <w:rFonts w:ascii="Arial" w:hAnsi="Arial" w:cs="Arial"/>
          <w:sz w:val="22"/>
          <w:szCs w:val="22"/>
        </w:rPr>
        <w:t xml:space="preserve">[PL 2023, c. 409,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PL 2023, c. 409,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§2263. Motion; persons who may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§2263. Motion; persons who may file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§2263. MOTION; PERSONS WHO MAY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