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Complaint not sustained; frivolous or malicious</w:t>
      </w:r>
    </w:p>
    <w:p>
      <w:pPr>
        <w:jc w:val="both"/>
        <w:spacing w:before="100" w:after="100"/>
        <w:ind w:start="360"/>
        <w:ind w:firstLine="360"/>
      </w:pPr>
      <w:r>
        <w:rPr/>
      </w:r>
      <w:r>
        <w:rPr/>
      </w:r>
      <w:r>
        <w:t xml:space="preserve">If the judge, on examination of the facts, is not satisfied that there is just cause to fear the commission of any offense, he shall immediately discharge the accused. If he judges the complaint to be unfounded, frivolous or malicious, he may order the complainant to pay the costs of prosecution, who shall thereupon be answerable to the judge, officer and witnesses for their fees as for his own debt.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 Complaint not sustained; frivolous or malicious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Complaint not sustained; frivolous or malicious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§283. COMPLAINT NOT SUSTAINED; FRIVOLOUS OR MALICIOUS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