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3311-A</w:t>
        <w:t xml:space="preserve">.  </w:t>
      </w:r>
      <w:r>
        <w:rPr>
          <w:b/>
        </w:rPr>
        <w:t xml:space="preserve">Eligibility for deferred disposition</w:t>
      </w:r>
    </w:p>
    <w:p>
      <w:pPr>
        <w:jc w:val="both"/>
        <w:spacing w:before="100" w:after="100"/>
        <w:ind w:start="360"/>
        <w:ind w:firstLine="360"/>
      </w:pPr>
      <w:r>
        <w:rPr/>
      </w:r>
      <w:r>
        <w:rPr/>
      </w:r>
      <w:r>
        <w:t xml:space="preserve">A juvenile who has entered an admission to a juvenile crime that would be a Class C, Class D or Class E crime or a civil violation if committed by an adult and who consents in writing to a deferred disposition is eligible for a deferred disposition pursuant to </w:t>
      </w:r>
      <w:r>
        <w:t>section 3311‑B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§1 (NEW). PL 2011, c. 480,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§3311-A. Eligibility for deferred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§3311-A. Eligibility for deferred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§3311-A. ELIGIBILITY FOR DEFERRED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