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General allegation of intent to defraud sufficient</w:t>
      </w:r>
    </w:p>
    <w:p>
      <w:pPr>
        <w:jc w:val="both"/>
        <w:spacing w:before="100" w:after="100"/>
        <w:ind w:start="360"/>
        <w:ind w:firstLine="360"/>
      </w:pPr>
      <w:r>
        <w:rPr/>
      </w:r>
      <w:r>
        <w:rPr/>
      </w:r>
      <w:r>
        <w:t xml:space="preserve">When an intent to defraud is necessary to constitute an offense, it is sufficient to allege generally in the indictment an intent to defraud. If there appears on trial an intent to defraud the United States, any state, county, town, person or corporation, it is sufficient.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General allegation of intent to defraud 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General allegation of intent to defraud 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§753. GENERAL ALLEGATION OF INTENT TO DEFRAUD 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