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Bar to civil action</w:t>
      </w:r>
    </w:p>
    <w:p>
      <w:pPr>
        <w:jc w:val="both"/>
        <w:spacing w:before="100" w:after="100"/>
        <w:ind w:start="360"/>
        <w:ind w:firstLine="360"/>
      </w:pPr>
      <w:r>
        <w:rPr/>
      </w:r>
      <w:r>
        <w:rPr/>
      </w:r>
      <w:r>
        <w:t xml:space="preserve">An order of dismissal entered pursuant to </w:t>
      </w:r>
      <w:r>
        <w:t>section 891</w:t>
      </w:r>
      <w:r>
        <w:t xml:space="preserve"> bars all further remedy by civil action for such an injury.</w:t>
      </w:r>
      <w:r>
        <w:t xml:space="preserve">  </w:t>
      </w:r>
      <w:r xmlns:wp="http://schemas.openxmlformats.org/drawingml/2010/wordprocessingDrawing" xmlns:w15="http://schemas.microsoft.com/office/word/2012/wordml">
        <w:rPr>
          <w:rFonts w:ascii="Arial" w:hAnsi="Arial" w:cs="Arial"/>
          <w:sz w:val="22"/>
          <w:szCs w:val="22"/>
        </w:rPr>
        <w:t xml:space="preserve">[PL 2007, c. 536,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§39 (AMD). RR 2007, c. 1, §7 (COR). PL 2007, c. 536,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§892. Bar to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Bar to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§892. BAR TO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