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RR 2011, c. 2, §14 (COR).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