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SENTENCES OF IMPRISONMENT</w:t>
      </w:r>
    </w:p>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section 853-A.</w:t>
      </w:r>
      <w:r>
        <w:t xml:space="preserve">  </w:t>
      </w:r>
      <w:r xmlns:wp="http://schemas.openxmlformats.org/drawingml/2010/wordprocessingDrawing" xmlns:w15="http://schemas.microsoft.com/office/word/2012/wordml">
        <w:rPr>
          <w:rFonts w:ascii="Arial" w:hAnsi="Arial" w:cs="Arial"/>
          <w:sz w:val="22"/>
          <w:szCs w:val="22"/>
        </w:rPr>
        <w:t xml:space="preserve">[PL 2023, c. 316, §12 (AMD); PL 2023, c. 455, §3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§12 (AMD); PL 2023, c. 455, §3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w:t>
      </w:r>
    </w:p>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63.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63.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