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1058</w:t>
        <w:t xml:space="preserve">.  </w:t>
      </w:r>
      <w:r>
        <w:rPr>
          <w:b/>
        </w:rPr>
        <w:t xml:space="preserve">Unauthorized possession of firearm in courthouse</w:t>
      </w:r>
    </w:p>
    <w:p>
      <w:pPr>
        <w:jc w:val="both"/>
        <w:spacing w:before="100" w:after="0"/>
        <w:ind w:start="360"/>
        <w:ind w:firstLine="360"/>
      </w:pPr>
      <w:r>
        <w:rPr>
          <w:b/>
        </w:rPr>
        <w:t>1</w:t>
        <w:t xml:space="preserve">.  </w:t>
      </w:r>
      <w:r>
        <w:rPr>
          <w:b/>
        </w:rPr>
      </w:r>
      <w:r>
        <w:t xml:space="preserve"> </w:t>
      </w:r>
      <w:r>
        <w:t xml:space="preserve">A person is guilty of unauthorized possession of a firearm in a courthouse if that person in fact possesses a firearm in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law enforcement officer, a corrections officer or a corrections supervisor engaged in the performance of the law enforcement officer's, corrections officer's or corrections supervisor's public duty;</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B</w:t>
        <w:t xml:space="preserve">.  </w:t>
      </w:r>
      <w:r>
        <w:rPr/>
      </w:r>
      <w:r>
        <w:t xml:space="preserve">A person possessing an unloaded firearm for the purpose of offering the firearm as evidence in a civil or criminal proceeding if the presiding judge or justice has granted prior  approval in writing to the person and the person possesses a copy of the written approval; or</w:t>
      </w:r>
      <w:r>
        <w:t xml:space="preserve">  </w:t>
      </w:r>
      <w:r xmlns:wp="http://schemas.openxmlformats.org/drawingml/2010/wordprocessingDrawing" xmlns:w15="http://schemas.microsoft.com/office/word/2012/wordml">
        <w:rPr>
          <w:rFonts w:ascii="Arial" w:hAnsi="Arial" w:cs="Arial"/>
          <w:sz w:val="22"/>
          <w:szCs w:val="22"/>
        </w:rPr>
        <w:t xml:space="preserve">[PL 2007, c. 466, Pt. C, §6 (AMD).]</w:t>
      </w:r>
    </w:p>
    <w:p>
      <w:pPr>
        <w:jc w:val="both"/>
        <w:spacing w:before="100" w:after="0"/>
        <w:ind w:start="720"/>
      </w:pPr>
      <w:r>
        <w:rPr/>
        <w:t>C</w:t>
        <w:t xml:space="preserve">.  </w:t>
      </w:r>
      <w:r>
        <w:rPr/>
      </w:r>
      <w:r>
        <w:t xml:space="preserve">An employee of a courier or security service in the course and scope of employment for the courier or security service, as approved by the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 (AMD).]</w:t>
      </w:r>
    </w:p>
    <w:p>
      <w:pPr>
        <w:jc w:val="both"/>
        <w:spacing w:before="100" w:after="0"/>
        <w:ind w:start="360"/>
        <w:ind w:firstLine="360"/>
      </w:pPr>
      <w:r>
        <w:rPr>
          <w:b/>
        </w:rPr>
        <w:t>2-A</w:t>
        <w:t xml:space="preserve">.  </w:t>
      </w:r>
      <w:r>
        <w:rPr>
          <w:b/>
        </w:rPr>
      </w:r>
      <w:r>
        <w:t xml:space="preserve"> </w:t>
      </w:r>
      <w:r>
        <w:t xml:space="preserve">It is not a defense to a prosecution under this section that the person holds a valid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§7 (AMD).]</w:t>
      </w:r>
    </w:p>
    <w:p>
      <w:pPr>
        <w:jc w:val="both"/>
        <w:spacing w:before="100" w:after="0"/>
        <w:ind w:start="360"/>
        <w:ind w:firstLine="360"/>
      </w:pPr>
      <w:r>
        <w:rPr>
          <w:b/>
        </w:rPr>
        <w:t>3</w:t>
        <w:t xml:space="preserve">.  </w:t>
      </w:r>
      <w:r>
        <w:rPr>
          <w:b/>
        </w:rPr>
      </w:r>
      <w:r>
        <w:t xml:space="preserve"> </w:t>
      </w:r>
      <w:r>
        <w:t xml:space="preserve">Unauthorized possession of a firearm in a courthouse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175, §1 (NEW). PL 2005, c. 527, §9 (AMD). PL 2007, c. 466, Pt. C, §6 (AMD). PL 2013, c. 147, §1 (AMD). PL 2013, c. 424,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§1058. Unauthorized possession of firearm in courthouse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§1058. Unauthorized possession of firearm in courthouse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§1058. UNAUTHORIZED POSSESSION OF FIREARM IN COURTHOUSE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