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Unlawful operation of a methamphetamine laboratory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§1124. UNLAWFUL OPERATION OF A METHAMPHETAMINE LABORATORY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