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Criminal threatening</w:t>
      </w:r>
    </w:p>
    <w:p>
      <w:pPr>
        <w:jc w:val="both"/>
        <w:spacing w:before="100" w:after="0"/>
        <w:ind w:start="360"/>
        <w:ind w:firstLine="360"/>
      </w:pPr>
      <w:r>
        <w:rPr>
          <w:b/>
        </w:rPr>
        <w:t>1</w:t>
        <w:t xml:space="preserve">.  </w:t>
      </w:r>
      <w:r>
        <w:rPr>
          <w:b/>
        </w:rPr>
      </w:r>
      <w:r>
        <w:t xml:space="preserve"> </w:t>
      </w:r>
      <w:r>
        <w:t xml:space="preserve">A person is guilty of criminal threatening if he intentionally or knowingly places another person in fear of imminent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threatening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 Criminal threatening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Criminal threatening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§209. CRIMINAL THREATENING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