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Theft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Theft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§357. THEFT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