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§358. THEFT BY MISAPPLICATION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