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Classification of crimes in this Code</w:t>
      </w:r>
    </w:p>
    <w:p>
      <w:pPr>
        <w:jc w:val="both"/>
        <w:spacing w:before="100" w:after="0"/>
        <w:ind w:start="360"/>
        <w:ind w:firstLine="360"/>
      </w:pPr>
      <w:r>
        <w:rPr>
          <w:b/>
        </w:rPr>
        <w:t>1</w:t>
        <w:t xml:space="preserve">.  </w:t>
      </w:r>
      <w:r>
        <w:rPr>
          <w:b/>
        </w:rPr>
      </w:r>
      <w:r>
        <w:t xml:space="preserve"> </w:t>
      </w:r>
      <w:r>
        <w:t xml:space="preserve">Except for murder, all crimes defined by this Code are classified for purposes of sentencing as Class A, Class B, Class C, Class D and Class 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§13 (RPR). PL 1977, c. 510, §14 (AMD). PL 1981, c. 324, §3 (RPR). PL 1985, c. 282,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Classification of crimes in this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Classification of crimes in this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 CLASSIFICATION OF CRIMES IN THIS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