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Application to crimes outside the code</w:t>
      </w:r>
    </w:p>
    <w:p>
      <w:pPr>
        <w:jc w:val="both"/>
        <w:spacing w:before="100" w:after="0"/>
        <w:ind w:start="360"/>
        <w:ind w:firstLine="360"/>
      </w:pPr>
      <w:r>
        <w:rPr>
          <w:b/>
        </w:rPr>
        <w:t>1</w:t>
        <w:t xml:space="preserve">.  </w:t>
      </w:r>
      <w:r>
        <w:rPr>
          <w:b/>
        </w:rPr>
      </w:r>
      <w:r>
        <w:t xml:space="preserve"> </w:t>
      </w:r>
      <w:r>
        <w:t xml:space="preserve">The provisions of </w:t>
      </w:r>
      <w:r>
        <w:t>Parts 1</w:t>
      </w:r>
      <w:r>
        <w:t xml:space="preserve">, </w:t>
      </w:r>
      <w:r>
        <w:t>6</w:t>
      </w:r>
      <w:r>
        <w:t xml:space="preserve"> and </w:t>
      </w:r>
      <w:r>
        <w:t>7</w:t>
      </w:r>
      <w:r>
        <w:t xml:space="preserve"> and </w:t>
      </w:r>
      <w:r>
        <w:t>chapter 7</w:t>
      </w:r>
      <w:r>
        <w:t xml:space="preserve"> are applicable to crimes defined outside this code, unless the context of the statute defining the crime clearly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§8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§17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§§16-A (RPR). PL 1977, c. 510, §17 (AMD). PL 1981, c. 324, §9 (AMD). PL 1989, c. 502, §D9 (AMD). PL 2019, c. 113,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 Application to crimes outside the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Application to crimes outside the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 APPLICATION TO CRIMES OUTSIDE THE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