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Individual liability for conduct on behalf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Individual liability for conduct on behalf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§61. INDIVIDUAL LIABILITY FOR CONDUCT ON BEHALF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