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752-F</w:t>
        <w:t xml:space="preserve">.  </w:t>
      </w:r>
      <w:r>
        <w:rPr>
          <w:b/>
        </w:rPr>
        <w:t xml:space="preserve">Assault in an emergency room</w:t>
      </w:r>
    </w:p>
    <w:p>
      <w:pPr>
        <w:jc w:val="both"/>
        <w:spacing w:before="100" w:after="0"/>
        <w:ind w:start="360"/>
        <w:ind w:firstLine="360"/>
      </w:pPr>
      <w:r>
        <w:rPr>
          <w:b/>
        </w:rPr>
        <w:t>1</w:t>
        <w:t xml:space="preserve">.  </w:t>
      </w:r>
      <w:r>
        <w:rPr>
          <w:b/>
        </w:rPr>
      </w:r>
      <w:r>
        <w:t xml:space="preserve"> </w:t>
      </w:r>
      <w:r>
        <w:t xml:space="preserve">A person is guilty of assault in an emergency room if that person intentionally, knowingly or recklessly causes bodily injury to a person employed or contracted by a hospital licensed under </w:t>
      </w:r>
      <w:r>
        <w:t>Title 22, chapter 405</w:t>
      </w:r>
      <w:r>
        <w:t xml:space="preserve"> if the injury occurs in the hospital's designated emergency room.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w:t>
      </w:r>
    </w:p>
    <w:p>
      <w:pPr>
        <w:jc w:val="both"/>
        <w:spacing w:before="100" w:after="0"/>
        <w:ind w:start="360"/>
        <w:ind w:firstLine="360"/>
      </w:pPr>
      <w:r>
        <w:rPr>
          <w:b/>
        </w:rPr>
        <w:t>2</w:t>
        <w:t xml:space="preserve">.  </w:t>
      </w:r>
      <w:r>
        <w:rPr>
          <w:b/>
        </w:rPr>
      </w:r>
      <w:r>
        <w:t xml:space="preserve"> </w:t>
      </w:r>
      <w:r>
        <w:t xml:space="preserve">Assault in an emergency room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§752-F. Assault in an emergency room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§752-F. Assault in an emergency room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§752-F. ASSAULT IN AN EMERGENCY ROOM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