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STRIKES AND VIOLENCE AGAINST UTILITIES, RAILROADS AND PLANTS</w:t>
      </w:r>
    </w:p>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117. STRIKES AND VIOLENCE AGAINST UTILITIES, RAILROADS AND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STRIKES AND VIOLENCE AGAINST UTILITIES, RAILROADS AND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117. STRIKES AND VIOLENCE AGAINST UTILITIES, RAILROADS AND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