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BUDGET PLANNING BUSINESS</w:t>
      </w:r>
    </w:p>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BUDGET PLANNING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BUDGET PLANNING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29. BUDGET PLANNING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