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Surcharge imposed</w:t>
      </w:r>
    </w:p>
    <w:p>
      <w:pPr>
        <w:jc w:val="both"/>
        <w:spacing w:before="100" w:after="100"/>
        <w:ind w:start="360"/>
        <w:ind w:firstLine="360"/>
      </w:pPr>
      <w:r>
        <w:rPr/>
      </w:r>
      <w:r>
        <w:rPr/>
      </w:r>
      <w:r>
        <w:t xml:space="preserve">A surcharge of 10% must be added to every fine or penalty imposed by any court in this State for a violation of this chapter.  The surcharge, for the purposes of collection and collection procedures, is considered a part of the fine or penalty.  All funds collected as a result of this surcharge must be deposited monthly in the Animal Welfare Fund established under </w:t>
      </w:r>
      <w:r>
        <w:t>Title 7, section 3906‑B,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 Surcharge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Surcharge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§1015. SURCHARGE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