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 intentionally, knowingly or recklessly:</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B</w:t>
        <w:t xml:space="preserve">.  </w:t>
      </w:r>
      <w:r>
        <w:rPr/>
      </w:r>
      <w:r>
        <w:t xml:space="preserve">Shoots at any bird or is present as a party, umpire or judge at such shooting.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C</w:t>
        <w:t xml:space="preserve">.  </w:t>
      </w:r>
      <w:r>
        <w:rPr/>
      </w:r>
      <w:r>
        <w:t xml:space="preserve">Rents any building, shed, room, yard, field or premises or knowingly suffers the use of the building, shed, room, yard, field or premises for any of the purposes described in </w:t>
      </w:r>
      <w:r>
        <w:t>paragraphs A</w:t>
      </w:r>
      <w:r>
        <w:t xml:space="preserve"> and </w:t>
      </w:r>
      <w:r>
        <w:t>B</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§21 (AMD);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$100 for each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w:pPr>
        <w:jc w:val="both"/>
        <w:spacing w:before="100" w:after="0"/>
        <w:ind w:start="720"/>
      </w:pPr>
      <w:r>
        <w:rPr/>
        <w:t>B</w:t>
        <w:t xml:space="preserve">.  </w:t>
      </w:r>
      <w:r>
        <w:rPr/>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§22 (RPR); PL 2003, c. 452, Pt. X, §2 (AFF).]</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may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§32 (AMD); PL 2003, c. 614, §9 (AFF).]</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not be arrested or detained for cruelty to birds.  The attorney for the State shall elect to charge a defendant with the crime of cruelty to birds under this section or the civil violation of cruelty to birds under </w:t>
      </w:r>
      <w:r>
        <w:t>Title 7, section 4012</w:t>
      </w:r>
      <w:r>
        <w:t xml:space="preserve">.  In making this election, the attorney for the State shall consider the severity of the cruelty displayed, the number of birds involved, any prior convictions or adjudications of bird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is not subject to judicial review. The factors involved in such election and determination are not elements of the criminal offense or civil violation of bird cruelty and are not subject to proof or disproof as prerequisites or conditions for conviction under this subsection or adjudication under </w:t>
      </w:r>
      <w:r>
        <w:t>Title 7, section 4012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§71 (AMD). PL 1999, c. 481, §2 (AMD). PL 2003, c. 414, §B32 (AMD). PL 2003, c. 414, §D7 (AFF). PL 2003, c. 452, §§I21,22 (AMD). PL 2003, c. 452, §X2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§1032. Cruelty to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Cruelty to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§1032. CRUELTY TO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