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 Alteration of surface water flow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Alteration of surface water flow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§2808. ALTERATION OF SURFACE WATER FLOW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