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Local option;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Local option;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§3205. LOCAL OPTION;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