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w:t>
        <w:t xml:space="preserve">.  </w:t>
      </w:r>
      <w:r>
        <w:rPr>
          <w:b/>
        </w:rPr>
        <w:t xml:space="preserve">Penalty</w:t>
      </w:r>
    </w:p>
    <w:p>
      <w:pPr>
        <w:jc w:val="both"/>
        <w:spacing w:before="100" w:after="100"/>
        <w:ind w:start="360"/>
        <w:ind w:firstLine="360"/>
      </w:pPr>
      <w:r>
        <w:rPr/>
      </w:r>
      <w:r>
        <w:rPr/>
      </w:r>
      <w:r>
        <w:t xml:space="preserve">Whoever, either individually or as the officer or employee of any person, corporation or association, violates any of the provisions of </w:t>
      </w:r>
      <w:r>
        <w:t>section 701</w:t>
      </w:r>
      <w:r>
        <w:t xml:space="preserve"> shall be punished by a fine of not more than $500, or by imprisonment for not more than 6 months, or by both.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§703.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§703.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