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CREDITOR'S CLAIMS; SPENDTHRIFT AND DISCRETIONARY TRUSTS</w:t>
      </w:r>
    </w:p>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CREDITOR'S CLAIMS; SPENDTHRIFT AND DISCRETIONARY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CREDITOR'S CLAIMS; SPENDTHRIFT AND DISCRETIONARY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5. CREDITOR'S CLAIMS; SPENDTHRIFT AND DISCRETIONARY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