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Application; principal place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Application; principal place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§2103. APPLICATION; PRINCIPAL PLACE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