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Application to cotrustee</w:t>
      </w:r>
    </w:p>
    <w:p>
      <w:pPr>
        <w:jc w:val="both"/>
        <w:spacing w:before="100" w:after="100"/>
        <w:ind w:start="360"/>
        <w:ind w:firstLine="360"/>
      </w:pPr>
      <w:r>
        <w:rPr/>
      </w:r>
      <w:r>
        <w:rPr/>
      </w:r>
      <w:r>
        <w:t xml:space="preserve">The terms of a trust may relieve a cotrustee from duty and liability with respect to another cotrustee's exercise or nonexercise of a power of the other cotrustee to the same extent that in a directed trust a directed trustee is relieved from duty and liability with respect to a trust director's power of direction under </w:t>
      </w:r>
      <w:r>
        <w:t>sections 2109</w:t>
      </w:r>
      <w:r>
        <w:t xml:space="preserve"> to </w:t>
      </w:r>
      <w:r>
        <w:t>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§2112. Application to cotrustee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Application to cotrustee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§2112. APPLICATION TO COTRUSTEE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