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Representation by holder of general testamentary power of appointment</w:t>
      </w:r>
    </w:p>
    <w:p>
      <w:pPr>
        <w:jc w:val="both"/>
        <w:spacing w:before="100" w:after="100"/>
        <w:ind w:start="360"/>
        <w:ind w:firstLine="360"/>
      </w:pPr>
      <w:r>
        <w:rPr/>
      </w:r>
      <w:r>
        <w:rPr/>
      </w:r>
      <w:r>
        <w:t xml:space="preserve">To the extent there is no conflict of interest between the holder of a general testamentary power of appointment and the persons represented with respect to the particular question or dispute, the holder may represent and bind persons whose interests, as permissible appointees,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 Representation by holder of general testamentary power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Representation by holder of general testamentary power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§302. REPRESENTATION BY HOLDER OF GENERAL TESTAMENTARY POWER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