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Representation by person having substantially identical interest</w:t>
      </w:r>
    </w:p>
    <w:p>
      <w:pPr>
        <w:jc w:val="both"/>
        <w:spacing w:before="100" w:after="100"/>
        <w:ind w:start="360"/>
        <w:ind w:firstLine="360"/>
      </w:pPr>
      <w:r>
        <w:rPr/>
      </w:r>
      <w:r>
        <w:rPr/>
      </w:r>
      <w:r>
        <w:t xml:space="preserve">Unless otherwise represented, a minor, an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representative and the person represented.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 Representation by person having substantially identical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Representation by person having substantially identical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§304. REPRESENTATION BY PERSON HAVING SUBSTANTIALLY IDENTICAL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