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Appointment of representative</w:t>
      </w:r>
    </w:p>
    <w:p>
      <w:pPr>
        <w:jc w:val="both"/>
        <w:spacing w:before="100" w:after="0"/>
        <w:ind w:start="360"/>
        <w:ind w:firstLine="360"/>
      </w:pPr>
      <w:r>
        <w:rPr>
          <w:b/>
        </w:rPr>
        <w:t>1</w:t>
        <w:t xml:space="preserve">.  </w:t>
      </w:r>
      <w:r>
        <w:rPr>
          <w:b/>
        </w:rPr>
        <w:t xml:space="preserve">Interest not represented; representation inadequate.</w:t>
        <w:t xml:space="preserve"> </w:t>
      </w:r>
      <w:r>
        <w:t xml:space="preserve"> </w:t>
      </w:r>
      <w:r>
        <w:t xml:space="preserve">If the court determines that an interest is not represented under this chapter, or that the otherwise available representation might be inadequate, the court may appoint a representative to receive notice, give consent and otherwise represent, bind and act on behalf of a minor, an incapacitated or unborn individual or a person whose identity or location is unknown.  A representative may be appointed to represent several persons or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Scope of representation.</w:t>
        <w:t xml:space="preserve"> </w:t>
      </w:r>
      <w:r>
        <w:t xml:space="preserve"> </w:t>
      </w:r>
      <w:r>
        <w:t xml:space="preserve">A representative may act on behalf of the individual represented with respect to any matter arising under this Code, whether or not a judicial proceeding concerning the trust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Consider general benefit.</w:t>
        <w:t xml:space="preserve"> </w:t>
      </w:r>
      <w:r>
        <w:t xml:space="preserve"> </w:t>
      </w:r>
      <w:r>
        <w:t xml:space="preserve">In making decisions, a representative may consider general benefit accruing to the living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Appointment of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Appointment of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§305. APPOINTMENT OF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