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Modification or termination of trust; proceedings for approval or disapproval</w:t>
      </w:r>
    </w:p>
    <w:p>
      <w:pPr>
        <w:jc w:val="both"/>
        <w:spacing w:before="100" w:after="0"/>
        <w:ind w:start="360"/>
        <w:ind w:firstLine="360"/>
      </w:pPr>
      <w:r>
        <w:rPr>
          <w:b/>
        </w:rPr>
        <w:t>1</w:t>
        <w:t xml:space="preserve">.  </w:t>
      </w:r>
      <w:r>
        <w:rPr>
          <w:b/>
        </w:rPr>
        <w:t xml:space="preserve">Termination.</w:t>
        <w:t xml:space="preserve"> </w:t>
      </w:r>
      <w:r>
        <w:t xml:space="preserve"> </w:t>
      </w:r>
      <w:r>
        <w:t xml:space="preserve">In addition to the methods of termination prescribed by </w:t>
      </w:r>
      <w:r>
        <w:t>sections 411</w:t>
      </w:r>
      <w:r>
        <w:t xml:space="preserve"> through </w:t>
      </w:r>
      <w:r>
        <w:t>414</w:t>
      </w:r>
      <w:r>
        <w:t xml:space="preserve">, a trust terminates to the extent the trust is revoked or expires pursuant to its terms, no purpose of the trust remains to be achieved or the purposes of the trust have become unlawful, contrary to public policy or impossible to achieve.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or termination proceeding.</w:t>
        <w:t xml:space="preserve"> </w:t>
      </w:r>
      <w:r>
        <w:t xml:space="preserve"> </w:t>
      </w:r>
      <w:r>
        <w:t xml:space="preserve">A proceeding to approve or disapprove a proposed modification or termination under </w:t>
      </w:r>
      <w:r>
        <w:t>sections 411</w:t>
      </w:r>
      <w:r>
        <w:t xml:space="preserve"> to </w:t>
      </w:r>
      <w:r>
        <w:t>416</w:t>
      </w:r>
      <w:r>
        <w:t xml:space="preserve">, or trust combination or division under </w:t>
      </w:r>
      <w:r>
        <w:t>section 417</w:t>
      </w:r>
      <w:r>
        <w:t xml:space="preserve">, may be commenced by a trustee or beneficiary, and a proceeding to approve or disapprove a proposed modification or termination under </w:t>
      </w:r>
      <w:r>
        <w:t>section 411</w:t>
      </w:r>
      <w:r>
        <w:t xml:space="preserve"> may be commenced by the settlor.  The settlor of a charitable trust may maintain a proceeding to modify the trust under </w:t>
      </w:r>
      <w:r>
        <w:t>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 Modification or termination of trust; proceedings for approval or disapproval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Modification or termination of trust; proceedings for approval or disapproval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§410. MODIFICATION OR TERMINATION OF TRUST; PROCEEDINGS FOR APPROVAL OR DISAPPROVAL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