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AND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§1 (AMD).]</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Record.</w:t>
        <w:t xml:space="preserve"> </w:t>
      </w:r>
      <w:r>
        <w:t xml:space="preserve"> </w:t>
      </w:r>
      <w:r>
        <w:t xml:space="preserve">The court shall make and preserve a record of a name change.  The court may make the record of the name change confidential or not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§3 (AMD).]</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may require a person seeking a name change to undergo one or more of the following background checks:  a criminal history record check;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