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Notice; waiver</w:t>
      </w:r>
    </w:p>
    <w:p>
      <w:pPr>
        <w:jc w:val="both"/>
        <w:spacing w:before="100" w:after="100"/>
        <w:ind w:start="360"/>
        <w:ind w:firstLine="360"/>
      </w:pPr>
      <w:r>
        <w:rPr/>
      </w:r>
      <w:r>
        <w:rPr/>
      </w:r>
      <w:r>
        <w:t xml:space="preserve">A person, including a guardian ad litem, conservator or other fiduciary, may waive notice in the manner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§1-402. NOTICE;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