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§10-114. DISCLOSURE OF DIGITAL ASSETS TO CONSERVATOR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