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Choice of law as to execution</w:t>
      </w:r>
    </w:p>
    <w:p>
      <w:pPr>
        <w:jc w:val="both"/>
        <w:spacing w:before="100" w:after="100"/>
        <w:ind w:start="360"/>
        <w:ind w:firstLine="360"/>
      </w:pPr>
      <w:r>
        <w:rPr/>
      </w:r>
      <w:r>
        <w:rPr/>
      </w:r>
      <w:r>
        <w:t xml:space="preserve">A written will is valid if executed in compliance with </w:t>
      </w:r>
      <w:r>
        <w:t>section 2‑502</w:t>
      </w:r>
      <w:r>
        <w:t xml:space="preserve"> or if its execution complies with the law at the time of execution of the place where the will is executed, or of the law of the place where at the time of execution or at the time of death the testator is domiciled, has a place of abode or is a national or if executed in compliance with 10 United States Code, Section 1044d.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§2-505. Choice of law as to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Choice of law as to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§2-505. CHOICE OF LAW AS TO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