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governing instrument.  The rules of construction in this Part apply to a governing instrument of any type, except as the application of a particular section is limited by its terms to a specific type or types of provision or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