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Worthier-title doctrine abolished</w:t>
      </w:r>
    </w:p>
    <w:p>
      <w:pPr>
        <w:jc w:val="both"/>
        <w:spacing w:before="100" w:after="100"/>
        <w:ind w:start="360"/>
        <w:ind w:firstLine="360"/>
      </w:pPr>
      <w:r>
        <w:rPr/>
      </w:r>
      <w:r>
        <w:rPr/>
      </w:r>
      <w:r>
        <w:t xml:space="preserve">The doctrine of worthier title is abolished as a rule of law and as a rule of construction.  Language in a governing instrument describing the beneficiaries of a disposition as the transferor's "heirs," "heirs at law," "next of kin," "distributees," "relatives" or "family," or language of similar import, does not create or presumptively create a reversionary interest in the transferor.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§2-710. Worthier-title doctrine abolished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Worthier-title doctrine abolished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§2-710. WORTHIER-TITLE DOCTRINE ABOLISHED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