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When disclaimer barred or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When disclaimer barred or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§2-913. WHEN DISCLAIMER BARRED OR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