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3-1006</w:t>
        <w:t xml:space="preserve">.  </w:t>
      </w:r>
      <w:r>
        <w:rPr>
          <w:b/>
        </w:rPr>
        <w:t xml:space="preserve">Limitations on actions and proceedings against distributees</w:t>
      </w:r>
    </w:p>
    <w:p>
      <w:pPr>
        <w:jc w:val="both"/>
        <w:spacing w:before="100" w:after="100"/>
        <w:ind w:start="360"/>
        <w:ind w:firstLine="360"/>
      </w:pPr>
      <w:r>
        <w:rPr/>
      </w:r>
      <w:r>
        <w:rPr/>
      </w:r>
      <w:r>
        <w:t xml:space="preserve">Unless previously adjudicated in a formal testacy proceeding or in a proceeding settling the accounts of a personal representative or otherwise barred, the claim of any claimant to recover from a distributee who is liable to pay the claim, and the right of an heir or devisee, or of a successor personal representative acting in the heir's or devisee's behalf, to recover property improperly distributed or its value from any distributee is forever barred at the later of 3 years after the decedent's death or one year after the time of its distribution, but all claims of creditors of the decedent are barred 9 months after the decedent's death.  This section does not bar an action to recover property or value received as the result of fraud.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§3-1006. Limitations on actions and proceedings against distributees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§3-1006. Limitations on actions and proceedings against distributees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§3-1006. LIMITATIONS ON ACTIONS AND PROCEEDINGS AGAINST DISTRIBUTEES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