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ind w:firstLine="360"/>
      </w:pPr>
      <w:r>
        <w:rPr/>
      </w:r>
      <w:r>
        <w:rPr/>
      </w:r>
      <w:r>
        <w:t xml:space="preserve">Except as otherwise provided in </w:t>
      </w:r>
      <w:r>
        <w:t>Article 4</w:t>
      </w:r>
      <w:r>
        <w:t xml:space="preserve">, to acquire the powers and undertake the duties and liabilities of a personal representative of a decedent, a person must be appointed by order of the court or registers, qualify and be issued letters. Administration of an estate is commenced by the issuance of letters.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Necessity of appointment for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Necessity of appointment for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§3-103. NECESSITY OF APPOINTMENT FOR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