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ind w:firstLine="360"/>
      </w:pPr>
      <w:r>
        <w:rPr/>
      </w:r>
      <w:r>
        <w:rPr/>
      </w:r>
      <w:r>
        <w:t xml:space="preserve">A proceeding to enforce a claim against the estate of a decedent or the decedent's successors may not be revived or commenced before the appointment of a personal representative.  After the appointment and until distribution, all proceedings and actions to enforce a claim against the estate are governed by the procedure prescribed by this Article.  After distribution, a creditor whose claim has not been barred may recover from the distributees as provided in </w:t>
      </w:r>
      <w:r>
        <w:t>section 3‑1004</w:t>
      </w:r>
      <w:r>
        <w:t xml:space="preserve"> or from a former personal representative individually liable as provided in </w:t>
      </w:r>
      <w:r>
        <w:t>section 3‑1005</w:t>
      </w:r>
      <w:r>
        <w:t xml:space="preserve">.  This section has no application to a proceeding by a secured creditor of the decedent to enforce the creditor's right to the security except as to any deficiency judgment that might be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§3-104. CLAIMS AGAINST DECEDENT; NECESSITY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