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Effect of affidavit</w:t>
      </w:r>
    </w:p>
    <w:p>
      <w:pPr>
        <w:jc w:val="both"/>
        <w:spacing w:before="100" w:after="100"/>
        <w:ind w:start="360"/>
        <w:ind w:firstLine="360"/>
      </w:pPr>
      <w:r>
        <w:rPr/>
      </w:r>
      <w:r>
        <w:rPr/>
      </w:r>
      <w:r>
        <w:t xml:space="preserve">The person paying, delivering, transferring or issuing personal property or the evidence of personal property pursuant to affidavit is discharged and released to the same extent as if the person dealt with a personal representative of the decedent.  The person is not required to see to the application of the personal property or evidence of personal property or to inquire into the truth of any statement in the affidavit.  If any person to whom an affidavit is delivered refuses to pay, deliver, transfer or issue any personal property or evidence of personal property,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to any personal representative of the estate or to any other person having a superior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§3-1202. EFFECT OF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