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Informal appointment proceedings; proof and findings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§3-308. INFORMAL APPOINTMENT PROCEEDINGS; PROOF AND FINDINGS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