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ind w:firstLine="360"/>
      </w:pPr>
      <w:r>
        <w:rPr/>
      </w:r>
      <w:r>
        <w:rPr/>
      </w:r>
      <w:r>
        <w:t xml:space="preserve">Subject to appeal and subject to vacation as provided in this section and in </w:t>
      </w:r>
      <w:r>
        <w:t>section 3‑413</w:t>
      </w:r>
      <w:r>
        <w:t xml:space="preserve">, a formal testacy order under </w:t>
      </w:r>
      <w:r>
        <w:t>sections 3‑409</w:t>
      </w:r>
      <w:r>
        <w:t xml:space="preserve"> to </w:t>
      </w:r>
      <w:r>
        <w:t>3‑411</w:t>
      </w:r>
      <w:r>
        <w:t xml:space="preserve">,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Petition to modify or vacate formal testacy order.</w:t>
        <w:t xml:space="preserve"> </w:t>
      </w:r>
      <w:r>
        <w:t xml:space="preserve"> </w:t>
      </w:r>
      <w:r>
        <w:t xml:space="preserve">The court shall entertain a petition for modification or vacation of its order and probate of another will of the decedent if it is shown that the proponents of the later-offered will:</w:t>
      </w:r>
    </w:p>
    <w:p>
      <w:pPr>
        <w:jc w:val="both"/>
        <w:spacing w:before="100" w:after="0"/>
        <w:ind w:start="720"/>
      </w:pPr>
      <w:r>
        <w:rPr/>
        <w:t>A</w:t>
        <w:t xml:space="preserve">.  </w:t>
      </w:r>
      <w:r>
        <w:rPr/>
      </w:r>
      <w:r>
        <w:t xml:space="preserve">Were unaware of its existence at the time of the earlier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Were unaware of the earlier proceeding and were given no notice thereof, except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Reconsideration of order determining heirs.</w:t>
        <w:t xml:space="preserve"> </w:t>
      </w:r>
      <w:r>
        <w:t xml:space="preserve"> </w:t>
      </w:r>
      <w:r>
        <w:t xml:space="preserve">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the decedent's death or were given no notice of any proceeding concerning the decedent's estate, except by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Time limits.</w:t>
        <w:t xml:space="preserve"> </w:t>
      </w:r>
      <w:r>
        <w:t xml:space="preserve"> </w:t>
      </w:r>
      <w:r>
        <w:t xml:space="preserve">A petition for vacation under either </w:t>
      </w:r>
      <w:r>
        <w:t>subsection 1</w:t>
      </w:r>
      <w:r>
        <w:t xml:space="preserve"> or </w:t>
      </w:r>
      <w:r>
        <w:t>2</w:t>
      </w:r>
      <w:r>
        <w:t xml:space="preserve"> must be filed prior to the earlier of the following time limits:</w:t>
      </w:r>
    </w:p>
    <w:p>
      <w:pPr>
        <w:jc w:val="both"/>
        <w:spacing w:before="100" w:after="0"/>
        <w:ind w:start="720"/>
      </w:pPr>
      <w:r>
        <w:rPr/>
        <w:t>A</w:t>
        <w:t xml:space="preserve">.  </w:t>
      </w:r>
      <w:r>
        <w:rPr/>
      </w:r>
      <w:r>
        <w:t xml:space="preserve">If a personal representative has been appointed for the estate, the time of entry of any order approving final distribution of the estate or, if the estate is closed by statement, 6 months after the filing of the closing statement;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or not a personal representative has been appointed for the estate of the decedent, the time prescribed by </w:t>
      </w:r>
      <w:r>
        <w:t>section 3‑108</w:t>
      </w:r>
      <w:r>
        <w:t xml:space="preserve"> when it is no longer possible to initiate an original proceeding to probate a will of the decedent;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Twelve months after the entry of the order sought to be vacated;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Modification or vacation order.</w:t>
        <w:t xml:space="preserve"> </w:t>
      </w:r>
      <w:r>
        <w:t xml:space="preserve"> </w:t>
      </w:r>
      <w:r>
        <w:t xml:space="preserve">The order originally rendered in the testacy proceeding may be modified or vacated, if appropriate under the circumstances, by the order of probate of the later-offered will or the order redetermining heirs;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finding of fact of death.</w:t>
        <w:t xml:space="preserve"> </w:t>
      </w:r>
      <w:r>
        <w:t xml:space="preserve"> </w:t>
      </w:r>
      <w:r>
        <w:t xml:space="preserve">The finding of the fact of death is conclusive as to the alleged decedent only if notice of the hearing on the petition in the formal testacy proceeding was sent by registered or certified mail addressed to the alleged decedent at the decedent's last known address and the court finds that a search under </w:t>
      </w:r>
      <w:r>
        <w:t>section 3‑403, subsection 2</w:t>
      </w:r>
      <w:r>
        <w:t xml:space="preserve">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If the alleged decedent is not dead, even if notice was sent and search was made, the alleged decedent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§3-412. Formal testacy proceedings; effect of order; vacation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Formal testacy proceedings; effect of order; vacation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§3-412. FORMAL TESTACY PROCEEDINGS; EFFECT OF ORDER; VACATION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