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ind w:firstLine="360"/>
      </w:pPr>
      <w:r>
        <w:rPr/>
      </w:r>
      <w:r>
        <w:rPr/>
      </w:r>
      <w:r>
        <w:t xml:space="preserve">A special administrator may be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Informal proceedings.</w:t>
        <w:t xml:space="preserve"> </w:t>
      </w:r>
      <w:r>
        <w:t xml:space="preserve"> </w:t>
      </w:r>
      <w:r>
        <w:t xml:space="preserve">Informally by the register on the application of any interested person when necessary to protect the estate of a decedent prior to the appointment of a general personal representative or if a prior appointment has been terminated as provided in </w:t>
      </w:r>
      <w:r>
        <w:t>section 3‑609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Formal proceedings.</w:t>
        <w:t xml:space="preserve"> </w:t>
      </w:r>
      <w:r>
        <w:t xml:space="preserve"> </w:t>
      </w:r>
      <w:r>
        <w:t xml:space="preserve">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Special administrator;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§3-614. SPECIAL ADMINISTRATOR;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