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3-717</w:t>
        <w:t xml:space="preserve">.  </w:t>
      </w:r>
      <w:r>
        <w:rPr>
          <w:b/>
        </w:rPr>
        <w:t xml:space="preserve">Corepresentatives; when joint action required</w:t>
      </w:r>
    </w:p>
    <w:p>
      <w:pPr>
        <w:jc w:val="both"/>
        <w:spacing w:before="100" w:after="100"/>
        <w:ind w:start="360"/>
        <w:ind w:firstLine="360"/>
      </w:pPr>
      <w:r>
        <w:rPr/>
      </w:r>
      <w:r>
        <w:rPr/>
      </w:r>
      <w:r>
        <w:t xml:space="preserve">If 2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or when a corepresentative has been delegated to act for the others.  Persons dealing with a corepresentative if actually unaware that another has been appointed to serve with that corepresentative or if advised by the personal representative with whom they deal that the personal representative has authority to act alone for any of the reasons mentioned in this section are as fully protected as if the person with whom they dealt had been the sole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§3-717. Corepresentatives; when joint action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§3-717. Corepresentatives; when joint action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§3-717. COREPRESENTATIVES; WHEN JOINT ACTION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