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Limitations on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§3-803. LIMITATIONS ON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